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16" w:rsidRPr="007E7616" w:rsidRDefault="007E7616" w:rsidP="007E7616">
      <w:pPr>
        <w:jc w:val="center"/>
        <w:rPr>
          <w:b/>
        </w:rPr>
      </w:pPr>
      <w:r w:rsidRPr="007E7616">
        <w:rPr>
          <w:rFonts w:ascii="Vodafone Lt" w:hAnsi="Vodafone Lt"/>
          <w:b/>
          <w:bCs/>
        </w:rPr>
        <w:t>Senior Billing Administrator</w:t>
      </w:r>
    </w:p>
    <w:tbl>
      <w:tblPr>
        <w:tblW w:w="9358" w:type="dxa"/>
        <w:tblBorders>
          <w:top w:val="single" w:sz="8" w:space="0" w:color="A6A6A6" w:themeColor="background1" w:themeShade="A6"/>
          <w:bottom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20"/>
      </w:tblPr>
      <w:tblGrid>
        <w:gridCol w:w="4764"/>
        <w:gridCol w:w="4594"/>
      </w:tblGrid>
      <w:tr w:rsidR="00C87572" w:rsidRPr="00421607" w:rsidTr="00FF5DA2">
        <w:trPr>
          <w:trHeight w:val="1161"/>
        </w:trPr>
        <w:tc>
          <w:tcPr>
            <w:tcW w:w="93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616" w:rsidRPr="007E7616" w:rsidRDefault="009F69F2" w:rsidP="000E2163">
            <w:pPr>
              <w:spacing w:after="0" w:line="240" w:lineRule="auto"/>
              <w:jc w:val="both"/>
              <w:rPr>
                <w:rFonts w:ascii="Vodafone Lt" w:hAnsi="Vodafone Lt"/>
                <w:b/>
                <w:bCs/>
              </w:rPr>
            </w:pPr>
            <w:r w:rsidRPr="007E7616">
              <w:rPr>
                <w:rFonts w:ascii="Vodafone Lt" w:hAnsi="Vodafone Lt"/>
                <w:b/>
                <w:bCs/>
              </w:rPr>
              <w:t>Role P</w:t>
            </w:r>
            <w:r w:rsidR="00C87572" w:rsidRPr="007E7616">
              <w:rPr>
                <w:rFonts w:ascii="Vodafone Lt" w:hAnsi="Vodafone Lt"/>
                <w:b/>
                <w:bCs/>
              </w:rPr>
              <w:t>urpose:</w:t>
            </w:r>
          </w:p>
          <w:p w:rsidR="00466338" w:rsidRPr="00324BFB" w:rsidRDefault="000125B4" w:rsidP="009D5A9E">
            <w:pPr>
              <w:spacing w:after="0" w:line="240" w:lineRule="auto"/>
              <w:jc w:val="both"/>
              <w:rPr>
                <w:rFonts w:ascii="Vodafone Lt" w:eastAsia="Times New Roman" w:hAnsi="Vodafone Lt" w:cs="Arial"/>
                <w:color w:val="32363A"/>
                <w:lang w:eastAsia="en-ZA"/>
              </w:rPr>
            </w:pPr>
            <w:r>
              <w:rPr>
                <w:rFonts w:ascii="Vodafone Lt" w:hAnsi="Vodafone Lt"/>
                <w:bCs/>
                <w:sz w:val="24"/>
                <w:szCs w:val="24"/>
              </w:rPr>
              <w:t xml:space="preserve">The </w:t>
            </w:r>
            <w:r w:rsidR="0045623B">
              <w:rPr>
                <w:rFonts w:ascii="Vodafone Lt" w:hAnsi="Vodafone Lt"/>
                <w:bCs/>
                <w:sz w:val="24"/>
                <w:szCs w:val="24"/>
              </w:rPr>
              <w:t xml:space="preserve">management of customer </w:t>
            </w:r>
            <w:r w:rsidR="00196CE6">
              <w:rPr>
                <w:rFonts w:ascii="Vodafone Lt" w:hAnsi="Vodafone Lt"/>
                <w:bCs/>
                <w:sz w:val="24"/>
                <w:szCs w:val="24"/>
              </w:rPr>
              <w:t xml:space="preserve">on-boarding and the billing </w:t>
            </w:r>
            <w:r w:rsidR="0045623B">
              <w:rPr>
                <w:rFonts w:ascii="Vodafone Lt" w:hAnsi="Vodafone Lt"/>
                <w:bCs/>
                <w:sz w:val="24"/>
                <w:szCs w:val="24"/>
              </w:rPr>
              <w:t xml:space="preserve">administrative </w:t>
            </w:r>
            <w:r>
              <w:rPr>
                <w:rFonts w:ascii="Vodafone Lt" w:hAnsi="Vodafone Lt"/>
                <w:bCs/>
                <w:sz w:val="24"/>
                <w:szCs w:val="24"/>
              </w:rPr>
              <w:t xml:space="preserve">process </w:t>
            </w:r>
            <w:r w:rsidR="0045623B">
              <w:rPr>
                <w:rFonts w:ascii="Vodafone Lt" w:hAnsi="Vodafone Lt"/>
                <w:bCs/>
                <w:sz w:val="24"/>
                <w:szCs w:val="24"/>
              </w:rPr>
              <w:t xml:space="preserve">ensuring </w:t>
            </w:r>
            <w:r w:rsidR="00AA3934">
              <w:rPr>
                <w:rFonts w:ascii="Vodafone Lt" w:hAnsi="Vodafone Lt"/>
                <w:bCs/>
                <w:sz w:val="24"/>
                <w:szCs w:val="24"/>
              </w:rPr>
              <w:t xml:space="preserve">billing </w:t>
            </w:r>
            <w:r w:rsidR="00FB3F29">
              <w:rPr>
                <w:rFonts w:ascii="Vodafone Lt" w:hAnsi="Vodafone Lt"/>
                <w:bCs/>
                <w:sz w:val="24"/>
                <w:szCs w:val="24"/>
              </w:rPr>
              <w:t>accuracy, completeness</w:t>
            </w:r>
            <w:r w:rsidR="00AA3934">
              <w:rPr>
                <w:rFonts w:ascii="Vodafone Lt" w:hAnsi="Vodafone Lt"/>
                <w:bCs/>
                <w:sz w:val="24"/>
                <w:szCs w:val="24"/>
              </w:rPr>
              <w:t xml:space="preserve">, compliance </w:t>
            </w:r>
            <w:r w:rsidR="00FB3F29">
              <w:rPr>
                <w:rFonts w:ascii="Vodafone Lt" w:hAnsi="Vodafone Lt"/>
                <w:bCs/>
                <w:sz w:val="24"/>
                <w:szCs w:val="24"/>
              </w:rPr>
              <w:t xml:space="preserve">and </w:t>
            </w:r>
            <w:r w:rsidR="00AA3934">
              <w:rPr>
                <w:rFonts w:ascii="Vodafone Lt" w:hAnsi="Vodafone Lt"/>
                <w:bCs/>
                <w:sz w:val="24"/>
                <w:szCs w:val="24"/>
              </w:rPr>
              <w:t xml:space="preserve">reliability. </w:t>
            </w:r>
            <w:r w:rsidR="00822FD4" w:rsidRPr="000E2163">
              <w:rPr>
                <w:rFonts w:ascii="Vodafone Lt" w:hAnsi="Vodafone Lt"/>
                <w:bCs/>
                <w:sz w:val="24"/>
                <w:szCs w:val="24"/>
              </w:rPr>
              <w:t>Manage accurate, timely, and compliant billing processes and ensure efficient revenue cycle management, resolve billing discrepancies, and provide support to Revenue Assurance.</w:t>
            </w:r>
            <w:r w:rsidR="009D5A9E">
              <w:rPr>
                <w:rFonts w:ascii="Vodafone Lt" w:hAnsi="Vodafone Lt"/>
                <w:bCs/>
                <w:sz w:val="24"/>
                <w:szCs w:val="24"/>
              </w:rPr>
              <w:t xml:space="preserve"> </w:t>
            </w:r>
            <w:r w:rsidR="00FF4E0F">
              <w:rPr>
                <w:rFonts w:ascii="Vodafone Lt" w:hAnsi="Vodafone Lt"/>
                <w:bCs/>
                <w:sz w:val="24"/>
                <w:szCs w:val="24"/>
              </w:rPr>
              <w:t>To m</w:t>
            </w:r>
            <w:r w:rsidR="00361AE5" w:rsidRPr="009D5A9E">
              <w:rPr>
                <w:rFonts w:ascii="Vodafone Lt" w:hAnsi="Vodafone Lt"/>
                <w:bCs/>
                <w:sz w:val="24"/>
                <w:szCs w:val="24"/>
              </w:rPr>
              <w:t>anage all compan</w:t>
            </w:r>
            <w:r w:rsidR="00FF4E0F" w:rsidRPr="009D5A9E">
              <w:rPr>
                <w:rFonts w:ascii="Vodafone Lt" w:hAnsi="Vodafone Lt"/>
                <w:bCs/>
                <w:sz w:val="24"/>
                <w:szCs w:val="24"/>
              </w:rPr>
              <w:t>ies</w:t>
            </w:r>
            <w:r w:rsidR="009D5A9E">
              <w:rPr>
                <w:rFonts w:ascii="Vodafone Lt" w:hAnsi="Vodafone Lt"/>
                <w:bCs/>
                <w:sz w:val="24"/>
                <w:szCs w:val="24"/>
              </w:rPr>
              <w:t xml:space="preserve"> </w:t>
            </w:r>
            <w:r w:rsidR="00FF4E0F" w:rsidRPr="009D5A9E">
              <w:rPr>
                <w:rFonts w:ascii="Vodafone Lt" w:hAnsi="Vodafone Lt"/>
                <w:bCs/>
                <w:sz w:val="24"/>
                <w:szCs w:val="24"/>
              </w:rPr>
              <w:t xml:space="preserve">billing </w:t>
            </w:r>
            <w:r w:rsidR="00232F6A" w:rsidRPr="009D5A9E">
              <w:rPr>
                <w:rFonts w:ascii="Vodafone Lt" w:hAnsi="Vodafone Lt"/>
                <w:bCs/>
                <w:sz w:val="24"/>
                <w:szCs w:val="24"/>
              </w:rPr>
              <w:t xml:space="preserve">in line with </w:t>
            </w:r>
            <w:r w:rsidR="00171E75" w:rsidRPr="009D5A9E">
              <w:rPr>
                <w:rFonts w:ascii="Vodafone Lt" w:hAnsi="Vodafone Lt"/>
                <w:bCs/>
                <w:sz w:val="24"/>
                <w:szCs w:val="24"/>
              </w:rPr>
              <w:t>audit</w:t>
            </w:r>
            <w:r w:rsidR="00232F6A" w:rsidRPr="009D5A9E">
              <w:rPr>
                <w:rFonts w:ascii="Vodafone Lt" w:hAnsi="Vodafone Lt"/>
                <w:bCs/>
                <w:sz w:val="24"/>
                <w:szCs w:val="24"/>
              </w:rPr>
              <w:t>, statutory</w:t>
            </w:r>
            <w:r w:rsidR="00171E75" w:rsidRPr="009D5A9E">
              <w:rPr>
                <w:rFonts w:ascii="Vodafone Lt" w:hAnsi="Vodafone Lt"/>
                <w:bCs/>
                <w:sz w:val="24"/>
                <w:szCs w:val="24"/>
              </w:rPr>
              <w:t xml:space="preserve"> and revenue assurance </w:t>
            </w:r>
            <w:r w:rsidR="001D53AA" w:rsidRPr="009D5A9E">
              <w:rPr>
                <w:rFonts w:ascii="Vodafone Lt" w:hAnsi="Vodafone Lt"/>
                <w:bCs/>
                <w:sz w:val="24"/>
                <w:szCs w:val="24"/>
              </w:rPr>
              <w:t>policies and processes.</w:t>
            </w:r>
            <w:r w:rsidR="009D5A9E">
              <w:rPr>
                <w:rFonts w:ascii="Vodafone Lt" w:hAnsi="Vodafone Lt"/>
                <w:bCs/>
                <w:sz w:val="24"/>
                <w:szCs w:val="24"/>
              </w:rPr>
              <w:t xml:space="preserve"> </w:t>
            </w:r>
            <w:r w:rsidR="00361AE5" w:rsidRPr="009D5A9E">
              <w:rPr>
                <w:rFonts w:ascii="Vodafone Lt" w:hAnsi="Vodafone Lt"/>
                <w:bCs/>
                <w:sz w:val="24"/>
                <w:szCs w:val="24"/>
              </w:rPr>
              <w:t xml:space="preserve">Regular reporting of customer </w:t>
            </w:r>
            <w:r w:rsidR="00324BFB" w:rsidRPr="009D5A9E">
              <w:rPr>
                <w:rFonts w:ascii="Vodafone Lt" w:hAnsi="Vodafone Lt"/>
                <w:bCs/>
                <w:sz w:val="24"/>
                <w:szCs w:val="24"/>
              </w:rPr>
              <w:t xml:space="preserve">billing </w:t>
            </w:r>
            <w:r w:rsidR="00361AE5" w:rsidRPr="009D5A9E">
              <w:rPr>
                <w:rFonts w:ascii="Vodafone Lt" w:hAnsi="Vodafone Lt"/>
                <w:bCs/>
                <w:sz w:val="24"/>
                <w:szCs w:val="24"/>
              </w:rPr>
              <w:t xml:space="preserve">performance </w:t>
            </w:r>
            <w:r w:rsidR="0036784B" w:rsidRPr="009D5A9E">
              <w:rPr>
                <w:rFonts w:ascii="Vodafone Lt" w:hAnsi="Vodafone Lt"/>
                <w:bCs/>
                <w:sz w:val="24"/>
                <w:szCs w:val="24"/>
              </w:rPr>
              <w:t xml:space="preserve">with </w:t>
            </w:r>
            <w:r w:rsidR="00E50D3A" w:rsidRPr="009D5A9E">
              <w:rPr>
                <w:rFonts w:ascii="Vodafone Lt" w:hAnsi="Vodafone Lt"/>
                <w:bCs/>
                <w:sz w:val="24"/>
                <w:szCs w:val="24"/>
              </w:rPr>
              <w:t xml:space="preserve">key </w:t>
            </w:r>
            <w:r w:rsidR="00361AE5" w:rsidRPr="009D5A9E">
              <w:rPr>
                <w:rFonts w:ascii="Vodafone Lt" w:hAnsi="Vodafone Lt"/>
                <w:bCs/>
                <w:sz w:val="24"/>
                <w:szCs w:val="24"/>
              </w:rPr>
              <w:t>highlight</w:t>
            </w:r>
            <w:r w:rsidR="00E50D3A" w:rsidRPr="009D5A9E">
              <w:rPr>
                <w:rFonts w:ascii="Vodafone Lt" w:hAnsi="Vodafone Lt"/>
                <w:bCs/>
                <w:sz w:val="24"/>
                <w:szCs w:val="24"/>
              </w:rPr>
              <w:t xml:space="preserve">son </w:t>
            </w:r>
            <w:r w:rsidR="00361AE5" w:rsidRPr="009D5A9E">
              <w:rPr>
                <w:rFonts w:ascii="Vodafone Lt" w:hAnsi="Vodafone Lt"/>
                <w:bCs/>
                <w:sz w:val="24"/>
                <w:szCs w:val="24"/>
              </w:rPr>
              <w:t xml:space="preserve">concerns </w:t>
            </w:r>
            <w:r w:rsidR="00D03CB8" w:rsidRPr="009D5A9E">
              <w:rPr>
                <w:rFonts w:ascii="Vodafone Lt" w:hAnsi="Vodafone Lt"/>
                <w:bCs/>
                <w:sz w:val="24"/>
                <w:szCs w:val="24"/>
              </w:rPr>
              <w:lastRenderedPageBreak/>
              <w:t>with</w:t>
            </w:r>
            <w:r w:rsidR="00361AE5" w:rsidRPr="009D5A9E">
              <w:rPr>
                <w:rFonts w:ascii="Vodafone Lt" w:hAnsi="Vodafone Lt"/>
                <w:bCs/>
                <w:sz w:val="24"/>
                <w:szCs w:val="24"/>
              </w:rPr>
              <w:t>mitigating</w:t>
            </w:r>
            <w:r w:rsidR="00C15376" w:rsidRPr="009D5A9E">
              <w:rPr>
                <w:rFonts w:ascii="Vodafone Lt" w:hAnsi="Vodafone Lt"/>
                <w:bCs/>
                <w:sz w:val="24"/>
                <w:szCs w:val="24"/>
              </w:rPr>
              <w:t xml:space="preserve"> plans</w:t>
            </w:r>
            <w:r w:rsidR="00361AE5" w:rsidRPr="009D5A9E">
              <w:rPr>
                <w:rFonts w:ascii="Vodafone Lt" w:hAnsi="Vodafone Lt"/>
                <w:bCs/>
                <w:sz w:val="24"/>
                <w:szCs w:val="24"/>
              </w:rPr>
              <w:t>.</w:t>
            </w:r>
          </w:p>
        </w:tc>
      </w:tr>
      <w:tr w:rsidR="00C87572" w:rsidRPr="00421607" w:rsidTr="00AE081D">
        <w:trPr>
          <w:trHeight w:val="2154"/>
        </w:trPr>
        <w:tc>
          <w:tcPr>
            <w:tcW w:w="47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338" w:rsidRPr="009D5A9E" w:rsidRDefault="00C87572" w:rsidP="00421607">
            <w:pPr>
              <w:spacing w:after="0"/>
              <w:rPr>
                <w:rFonts w:ascii="Vodafone Lt" w:hAnsi="Vodafone Lt"/>
                <w:b/>
                <w:bCs/>
              </w:rPr>
            </w:pPr>
            <w:r w:rsidRPr="009D5A9E">
              <w:rPr>
                <w:rFonts w:ascii="Vodafone Lt" w:hAnsi="Vodafone Lt"/>
                <w:b/>
                <w:bCs/>
              </w:rPr>
              <w:lastRenderedPageBreak/>
              <w:t xml:space="preserve">Key accountabilities and decision ownership </w:t>
            </w:r>
          </w:p>
          <w:p w:rsidR="00C87572" w:rsidRPr="009D5A9E" w:rsidRDefault="00C87572" w:rsidP="00421607">
            <w:pPr>
              <w:spacing w:after="0"/>
              <w:rPr>
                <w:rFonts w:ascii="Vodafone Lt" w:hAnsi="Vodafone Lt"/>
                <w:b/>
                <w:bCs/>
              </w:rPr>
            </w:pPr>
            <w:r w:rsidRPr="009D5A9E">
              <w:rPr>
                <w:rFonts w:ascii="Vodafone Lt" w:hAnsi="Vodafone Lt"/>
                <w:b/>
              </w:rPr>
              <w:t>[max 5]</w:t>
            </w:r>
            <w:r w:rsidRPr="009D5A9E">
              <w:rPr>
                <w:rFonts w:ascii="Vodafone Lt" w:hAnsi="Vodafone Lt"/>
                <w:b/>
                <w:bCs/>
              </w:rPr>
              <w:t xml:space="preserve">: </w:t>
            </w:r>
          </w:p>
          <w:p w:rsidR="00BC447E" w:rsidRPr="009D5A9E" w:rsidRDefault="00291C97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 xml:space="preserve">Accountable for the overall </w:t>
            </w:r>
            <w:r w:rsidR="00610545" w:rsidRPr="009D5A9E">
              <w:rPr>
                <w:rFonts w:ascii="Vodafone Lt" w:hAnsi="Vodafone Lt"/>
                <w:bCs/>
                <w:sz w:val="24"/>
                <w:szCs w:val="24"/>
              </w:rPr>
              <w:t>billing</w:t>
            </w:r>
            <w:r w:rsidR="00A40455" w:rsidRPr="009D5A9E">
              <w:rPr>
                <w:rFonts w:ascii="Vodafone Lt" w:hAnsi="Vodafone Lt"/>
                <w:bCs/>
                <w:sz w:val="24"/>
                <w:szCs w:val="24"/>
              </w:rPr>
              <w:t xml:space="preserve"> integrity </w:t>
            </w:r>
            <w:r w:rsidR="0024531D" w:rsidRPr="009D5A9E">
              <w:rPr>
                <w:rFonts w:ascii="Vodafone Lt" w:hAnsi="Vodafone Lt"/>
                <w:bCs/>
                <w:sz w:val="24"/>
                <w:szCs w:val="24"/>
              </w:rPr>
              <w:t xml:space="preserve">and customer </w:t>
            </w:r>
            <w:r w:rsidRPr="009D5A9E">
              <w:rPr>
                <w:rFonts w:ascii="Vodafone Lt" w:hAnsi="Vodafone Lt"/>
                <w:bCs/>
                <w:sz w:val="24"/>
                <w:szCs w:val="24"/>
              </w:rPr>
              <w:t xml:space="preserve">management </w:t>
            </w:r>
          </w:p>
          <w:p w:rsidR="00291C97" w:rsidRPr="009D5A9E" w:rsidRDefault="00291C97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Provide support and guidance for data analysis activities to confirm usage profiles, contractual changes and spend baselines</w:t>
            </w:r>
          </w:p>
          <w:p w:rsidR="00C07AFA" w:rsidRPr="009D5A9E" w:rsidRDefault="00C07AFA" w:rsidP="00C07A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 xml:space="preserve">Perform pre-billing </w:t>
            </w:r>
            <w:r w:rsidRPr="009D5A9E">
              <w:rPr>
                <w:rFonts w:ascii="Vodafone Lt" w:hAnsi="Vodafone Lt"/>
                <w:bCs/>
                <w:sz w:val="24"/>
                <w:szCs w:val="24"/>
              </w:rPr>
              <w:lastRenderedPageBreak/>
              <w:t>and post billing reconciliations</w:t>
            </w:r>
          </w:p>
          <w:p w:rsidR="00291C97" w:rsidRPr="009D5A9E" w:rsidRDefault="003137F2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 xml:space="preserve">Monthly </w:t>
            </w:r>
            <w:r w:rsidR="00E52DEC" w:rsidRPr="009D5A9E">
              <w:rPr>
                <w:rFonts w:ascii="Vodafone Lt" w:hAnsi="Vodafone Lt"/>
                <w:bCs/>
                <w:sz w:val="24"/>
                <w:szCs w:val="24"/>
              </w:rPr>
              <w:t>reconciliations of revenue vs collections vs open invoices</w:t>
            </w:r>
          </w:p>
          <w:p w:rsidR="003D0891" w:rsidRPr="009D5A9E" w:rsidRDefault="004E3FAE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Reconciliation of output VAT to billed revenues</w:t>
            </w:r>
          </w:p>
          <w:p w:rsidR="00291C97" w:rsidRPr="009D5A9E" w:rsidRDefault="00C07AFA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C</w:t>
            </w:r>
            <w:r w:rsidR="00BA7BD9" w:rsidRPr="009D5A9E">
              <w:rPr>
                <w:rFonts w:ascii="Vodafone Lt" w:hAnsi="Vodafone Lt"/>
                <w:bCs/>
                <w:sz w:val="24"/>
                <w:szCs w:val="24"/>
              </w:rPr>
              <w:t>ompliance to DOA and review and approval rules</w:t>
            </w:r>
            <w:r w:rsidR="00291C97" w:rsidRPr="009D5A9E">
              <w:rPr>
                <w:rFonts w:ascii="Vodafone Lt" w:hAnsi="Vodafone Lt"/>
                <w:bCs/>
                <w:sz w:val="24"/>
                <w:szCs w:val="24"/>
              </w:rPr>
              <w:t>.</w:t>
            </w:r>
          </w:p>
          <w:p w:rsidR="00C07AFA" w:rsidRPr="009D5A9E" w:rsidRDefault="00C07AFA" w:rsidP="00C07A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Support Revenue Assurance policies and processes across all entities</w:t>
            </w:r>
          </w:p>
          <w:p w:rsidR="007D6F1A" w:rsidRPr="009D5A9E" w:rsidRDefault="000D373C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Good MS Office knowledge especially in Excel</w:t>
            </w:r>
          </w:p>
          <w:p w:rsidR="007D6F1A" w:rsidRPr="009D5A9E" w:rsidRDefault="007D6F1A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Excellent problem-solving skills</w:t>
            </w:r>
          </w:p>
          <w:p w:rsidR="00902788" w:rsidRPr="009D5A9E" w:rsidRDefault="00902788" w:rsidP="0090278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Identify and process SLA network credits and/or penalties on process deficiencies</w:t>
            </w:r>
          </w:p>
          <w:p w:rsidR="00DE2212" w:rsidRPr="009D5A9E" w:rsidRDefault="00DE2212" w:rsidP="00DE221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Regular reporting on contract management completeness and billing accuracies</w:t>
            </w:r>
          </w:p>
          <w:p w:rsidR="00DE2212" w:rsidRPr="009D5A9E" w:rsidRDefault="00DE2212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Build relationship with customers/stakeholders on billing and collection</w:t>
            </w:r>
          </w:p>
          <w:p w:rsidR="000E2163" w:rsidRPr="009D5A9E" w:rsidRDefault="000E2163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Ability to interpret billing data, identify trends, and optimize processes</w:t>
            </w:r>
          </w:p>
          <w:p w:rsidR="000E2163" w:rsidRPr="009D5A9E" w:rsidRDefault="000E2163" w:rsidP="007D6F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Data analysis skills</w:t>
            </w:r>
          </w:p>
          <w:p w:rsidR="00617B1C" w:rsidRPr="009F1C1E" w:rsidRDefault="00617B1C" w:rsidP="007D6F1A">
            <w:pPr>
              <w:shd w:val="clear" w:color="auto" w:fill="FFFFFF"/>
              <w:spacing w:after="0" w:line="240" w:lineRule="auto"/>
              <w:ind w:left="720"/>
              <w:rPr>
                <w:rFonts w:ascii="Vodafone Lt" w:eastAsia="Times New Roman" w:hAnsi="Vodafone Lt" w:cs="Arial"/>
                <w:color w:val="32363A"/>
                <w:lang w:eastAsia="en-ZA"/>
              </w:rPr>
            </w:pPr>
          </w:p>
        </w:tc>
        <w:tc>
          <w:tcPr>
            <w:tcW w:w="4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50F4" w:rsidRPr="009D5A9E" w:rsidRDefault="007D6F1A" w:rsidP="009D5A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lastRenderedPageBreak/>
              <w:t>Good knowledge and understanding of billing in Sage</w:t>
            </w:r>
          </w:p>
          <w:p w:rsidR="00BC50F4" w:rsidRPr="009D5A9E" w:rsidRDefault="00BC50F4" w:rsidP="009D5A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Proactive attitude with continuous improvements</w:t>
            </w:r>
          </w:p>
          <w:p w:rsidR="00BC50F4" w:rsidRPr="009D5A9E" w:rsidRDefault="00E85EC1" w:rsidP="009D5A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Good</w:t>
            </w:r>
            <w:r w:rsidR="00BC50F4" w:rsidRPr="009D5A9E">
              <w:rPr>
                <w:rFonts w:ascii="Vodafone Lt" w:hAnsi="Vodafone Lt"/>
                <w:bCs/>
                <w:sz w:val="24"/>
                <w:szCs w:val="24"/>
              </w:rPr>
              <w:t xml:space="preserve"> communication skills, both written and verbal</w:t>
            </w:r>
          </w:p>
          <w:p w:rsidR="00FF5DA2" w:rsidRDefault="00BC50F4" w:rsidP="009D5A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Strong people skills and demonstrable ability to deliver th</w:t>
            </w:r>
            <w:r w:rsidR="00E85EC1" w:rsidRPr="009D5A9E">
              <w:rPr>
                <w:rFonts w:ascii="Vodafone Lt" w:hAnsi="Vodafone Lt"/>
                <w:bCs/>
                <w:sz w:val="24"/>
                <w:szCs w:val="24"/>
              </w:rPr>
              <w:t>r</w:t>
            </w:r>
            <w:r w:rsidRPr="009D5A9E">
              <w:rPr>
                <w:rFonts w:ascii="Vodafone Lt" w:hAnsi="Vodafone Lt"/>
                <w:bCs/>
                <w:sz w:val="24"/>
                <w:szCs w:val="24"/>
              </w:rPr>
              <w:t>ough others</w:t>
            </w:r>
          </w:p>
          <w:p w:rsidR="009D5A9E" w:rsidRPr="009D5A9E" w:rsidRDefault="009D5A9E" w:rsidP="009D5A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Sage/Seibel/Oracle experience in billing</w:t>
            </w:r>
          </w:p>
          <w:p w:rsidR="00822FD4" w:rsidRDefault="00822FD4" w:rsidP="007E4D12">
            <w:pPr>
              <w:shd w:val="clear" w:color="auto" w:fill="FFFFFF"/>
              <w:spacing w:after="0" w:line="240" w:lineRule="auto"/>
              <w:rPr>
                <w:rFonts w:ascii="Vodafone Lt" w:eastAsia="Times New Roman" w:hAnsi="Vodafone Lt" w:cs="Arial"/>
                <w:color w:val="32363A"/>
                <w:highlight w:val="yellow"/>
                <w:lang w:eastAsia="en-ZA"/>
              </w:rPr>
            </w:pPr>
          </w:p>
          <w:p w:rsidR="007E4D12" w:rsidRPr="007E7616" w:rsidRDefault="007E4D12" w:rsidP="007E4D12">
            <w:pPr>
              <w:shd w:val="clear" w:color="auto" w:fill="FFFFFF"/>
              <w:spacing w:after="0" w:line="240" w:lineRule="auto"/>
              <w:rPr>
                <w:rFonts w:ascii="Vodafone Lt" w:eastAsia="Times New Roman" w:hAnsi="Vodafone Lt" w:cs="Arial"/>
                <w:b/>
                <w:color w:val="32363A"/>
                <w:lang w:eastAsia="en-ZA"/>
              </w:rPr>
            </w:pPr>
            <w:r w:rsidRPr="007E7616">
              <w:rPr>
                <w:rFonts w:ascii="Vodafone Lt" w:eastAsia="Times New Roman" w:hAnsi="Vodafone Lt" w:cs="Arial"/>
                <w:b/>
                <w:color w:val="32363A"/>
                <w:lang w:eastAsia="en-ZA"/>
              </w:rPr>
              <w:t>Reporting &amp; Analytics</w:t>
            </w:r>
          </w:p>
          <w:p w:rsidR="007E4D12" w:rsidRPr="009D5A9E" w:rsidRDefault="007E4D12" w:rsidP="009D5A9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Generate billing reports to identify trends and areas for improvement.</w:t>
            </w:r>
          </w:p>
          <w:p w:rsidR="007E4D12" w:rsidRPr="007E4D12" w:rsidRDefault="007E4D12" w:rsidP="00822FD4">
            <w:pPr>
              <w:pStyle w:val="ListParagraph"/>
              <w:shd w:val="clear" w:color="auto" w:fill="FFFFFF"/>
              <w:spacing w:after="0" w:line="240" w:lineRule="auto"/>
              <w:rPr>
                <w:rFonts w:ascii="Vodafone Lt" w:eastAsia="Times New Roman" w:hAnsi="Vodafone Lt" w:cs="Arial"/>
                <w:color w:val="32363A"/>
                <w:lang w:eastAsia="en-ZA"/>
              </w:rPr>
            </w:pPr>
          </w:p>
        </w:tc>
      </w:tr>
      <w:tr w:rsidR="00C87572" w:rsidRPr="00421607" w:rsidTr="00AE081D">
        <w:trPr>
          <w:trHeight w:val="576"/>
        </w:trPr>
        <w:tc>
          <w:tcPr>
            <w:tcW w:w="4764" w:type="dxa"/>
            <w:vMerge/>
            <w:vAlign w:val="center"/>
            <w:hideMark/>
          </w:tcPr>
          <w:p w:rsidR="00C87572" w:rsidRPr="00421607" w:rsidRDefault="00C87572" w:rsidP="00421607">
            <w:pPr>
              <w:spacing w:after="0"/>
              <w:rPr>
                <w:rFonts w:ascii="Vodafone Lt" w:hAnsi="Vodafone Lt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572" w:rsidRPr="00421607" w:rsidRDefault="00C87572" w:rsidP="00421607">
            <w:pPr>
              <w:spacing w:after="0"/>
              <w:rPr>
                <w:rFonts w:ascii="Vodafone Lt" w:hAnsi="Vodafone Lt"/>
                <w:bCs/>
                <w:sz w:val="24"/>
                <w:szCs w:val="24"/>
              </w:rPr>
            </w:pPr>
            <w:r w:rsidRPr="00421607">
              <w:rPr>
                <w:rFonts w:ascii="Vodafone Lt" w:hAnsi="Vodafone Lt"/>
                <w:bCs/>
                <w:sz w:val="24"/>
                <w:szCs w:val="24"/>
              </w:rPr>
              <w:t xml:space="preserve">Must have technical / professional qualifications: </w:t>
            </w:r>
          </w:p>
          <w:p w:rsidR="009C14D3" w:rsidRPr="009D5A9E" w:rsidRDefault="009C14D3" w:rsidP="00AB0AC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Matric (Essential)</w:t>
            </w:r>
          </w:p>
          <w:p w:rsidR="005806D1" w:rsidRPr="009D5A9E" w:rsidRDefault="007F5C39" w:rsidP="00AB0AC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 xml:space="preserve">Degree or three-year Diploma </w:t>
            </w:r>
            <w:r w:rsidR="005806D1" w:rsidRPr="009D5A9E">
              <w:rPr>
                <w:rFonts w:ascii="Vodafone Lt" w:hAnsi="Vodafone Lt"/>
                <w:bCs/>
                <w:sz w:val="24"/>
                <w:szCs w:val="24"/>
              </w:rPr>
              <w:t>fina</w:t>
            </w:r>
            <w:r w:rsidR="003B23EE" w:rsidRPr="009D5A9E">
              <w:rPr>
                <w:rFonts w:ascii="Vodafone Lt" w:hAnsi="Vodafone Lt"/>
                <w:bCs/>
                <w:sz w:val="24"/>
                <w:szCs w:val="24"/>
              </w:rPr>
              <w:t>n</w:t>
            </w:r>
            <w:r w:rsidR="005806D1" w:rsidRPr="009D5A9E">
              <w:rPr>
                <w:rFonts w:ascii="Vodafone Lt" w:hAnsi="Vodafone Lt"/>
                <w:bCs/>
                <w:sz w:val="24"/>
                <w:szCs w:val="24"/>
              </w:rPr>
              <w:t>ce and administration</w:t>
            </w:r>
          </w:p>
          <w:p w:rsidR="007F5C39" w:rsidRPr="009D5A9E" w:rsidRDefault="00B20D99" w:rsidP="00AE08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hAnsi="Vodafone Lt"/>
                <w:bCs/>
                <w:sz w:val="24"/>
                <w:szCs w:val="24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>3</w:t>
            </w:r>
            <w:r w:rsidR="007F5C39" w:rsidRPr="009D5A9E">
              <w:rPr>
                <w:rFonts w:ascii="Vodafone Lt" w:hAnsi="Vodafone Lt"/>
                <w:bCs/>
                <w:sz w:val="24"/>
                <w:szCs w:val="24"/>
              </w:rPr>
              <w:t xml:space="preserve">+ years’ experience in </w:t>
            </w:r>
            <w:r w:rsidRPr="009D5A9E">
              <w:rPr>
                <w:rFonts w:ascii="Vodafone Lt" w:hAnsi="Vodafone Lt"/>
                <w:bCs/>
                <w:sz w:val="24"/>
                <w:szCs w:val="24"/>
              </w:rPr>
              <w:t>billing and administration</w:t>
            </w:r>
          </w:p>
          <w:p w:rsidR="00C87572" w:rsidRPr="009D5A9E" w:rsidRDefault="00822FD4" w:rsidP="00FF5DA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Vodafone Lt" w:eastAsia="Times New Roman" w:hAnsi="Vodafone Lt" w:cs="Arial"/>
                <w:color w:val="32363A"/>
                <w:lang w:val="en-ZA" w:eastAsia="en-ZA"/>
              </w:rPr>
            </w:pPr>
            <w:r w:rsidRPr="009D5A9E">
              <w:rPr>
                <w:rFonts w:ascii="Vodafone Lt" w:hAnsi="Vodafone Lt"/>
                <w:bCs/>
                <w:sz w:val="24"/>
                <w:szCs w:val="24"/>
              </w:rPr>
              <w:t xml:space="preserve">Telecommunications </w:t>
            </w:r>
            <w:r w:rsidR="000E2163" w:rsidRPr="009D5A9E">
              <w:rPr>
                <w:rFonts w:ascii="Vodafone Lt" w:hAnsi="Vodafone Lt"/>
                <w:bCs/>
                <w:sz w:val="24"/>
                <w:szCs w:val="24"/>
              </w:rPr>
              <w:t>experience will be an advantag</w:t>
            </w:r>
            <w:r w:rsidR="009D5A9E" w:rsidRPr="009D5A9E">
              <w:rPr>
                <w:rFonts w:ascii="Vodafone Lt" w:hAnsi="Vodafone Lt"/>
                <w:bCs/>
                <w:sz w:val="24"/>
                <w:szCs w:val="24"/>
              </w:rPr>
              <w:t>e</w:t>
            </w:r>
          </w:p>
        </w:tc>
      </w:tr>
      <w:tr w:rsidR="00C87572" w:rsidRPr="00421607" w:rsidTr="00AE081D">
        <w:trPr>
          <w:trHeight w:val="870"/>
        </w:trPr>
        <w:tc>
          <w:tcPr>
            <w:tcW w:w="4764" w:type="dxa"/>
            <w:vMerge/>
            <w:vAlign w:val="center"/>
            <w:hideMark/>
          </w:tcPr>
          <w:p w:rsidR="00C87572" w:rsidRPr="00421607" w:rsidRDefault="00C87572" w:rsidP="00421607">
            <w:pPr>
              <w:spacing w:after="0"/>
              <w:rPr>
                <w:rFonts w:ascii="Vodafone Lt" w:hAnsi="Vodafone Lt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572" w:rsidRPr="00421607" w:rsidRDefault="00C87572" w:rsidP="00421607">
            <w:pPr>
              <w:spacing w:after="0"/>
              <w:rPr>
                <w:rFonts w:ascii="Vodafone Lt" w:hAnsi="Vodafone Lt"/>
                <w:sz w:val="24"/>
                <w:szCs w:val="24"/>
              </w:rPr>
            </w:pPr>
          </w:p>
        </w:tc>
      </w:tr>
    </w:tbl>
    <w:p w:rsidR="00C87572" w:rsidRDefault="00C87572" w:rsidP="003F4EE6">
      <w:pPr>
        <w:rPr>
          <w:rFonts w:ascii="Vodafone Rg" w:hAnsi="Vodafone Rg"/>
          <w:color w:val="FF0000"/>
          <w:sz w:val="50"/>
          <w:szCs w:val="50"/>
        </w:rPr>
      </w:pPr>
    </w:p>
    <w:sectPr w:rsidR="00C87572" w:rsidSect="002E365C">
      <w:foot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98" w:rsidRDefault="00ED3798" w:rsidP="00C87572">
      <w:pPr>
        <w:spacing w:after="0" w:line="240" w:lineRule="auto"/>
      </w:pPr>
      <w:r>
        <w:separator/>
      </w:r>
    </w:p>
  </w:endnote>
  <w:endnote w:type="continuationSeparator" w:id="1">
    <w:p w:rsidR="00ED3798" w:rsidRDefault="00ED3798" w:rsidP="00C8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Lt">
    <w:altName w:val="Calibri"/>
    <w:charset w:val="00"/>
    <w:family w:val="swiss"/>
    <w:pitch w:val="variable"/>
    <w:sig w:usb0="800002AF" w:usb1="4000204B" w:usb2="00000000" w:usb3="00000000" w:csb0="0000009F" w:csb1="00000000"/>
  </w:font>
  <w:font w:name="Vodafone Rg">
    <w:altName w:val="Arial Narrow"/>
    <w:charset w:val="00"/>
    <w:family w:val="swiss"/>
    <w:pitch w:val="variable"/>
    <w:sig w:usb0="00000001" w:usb1="1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49" w:rsidRDefault="00074C01">
    <w:pPr>
      <w:pStyle w:val="Foo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be946de88832b805a0a485d" o:spid="_x0000_s1028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<v:textbox inset="20pt,0,,0">
            <w:txbxContent>
              <w:p w:rsidR="00F72F49" w:rsidRPr="00F72F49" w:rsidRDefault="00F72F49" w:rsidP="00F72F49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98" w:rsidRDefault="00ED3798" w:rsidP="00C87572">
      <w:pPr>
        <w:spacing w:after="0" w:line="240" w:lineRule="auto"/>
      </w:pPr>
      <w:r>
        <w:separator/>
      </w:r>
    </w:p>
  </w:footnote>
  <w:footnote w:type="continuationSeparator" w:id="1">
    <w:p w:rsidR="00ED3798" w:rsidRDefault="00ED3798" w:rsidP="00C8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FD0"/>
    <w:multiLevelType w:val="hybridMultilevel"/>
    <w:tmpl w:val="9444A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3322D9"/>
    <w:multiLevelType w:val="hybridMultilevel"/>
    <w:tmpl w:val="3F0E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C2460"/>
    <w:multiLevelType w:val="hybridMultilevel"/>
    <w:tmpl w:val="5F024148"/>
    <w:lvl w:ilvl="0" w:tplc="F68A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6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A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40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E0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E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113D1A"/>
    <w:multiLevelType w:val="hybridMultilevel"/>
    <w:tmpl w:val="048E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A77B6"/>
    <w:multiLevelType w:val="multilevel"/>
    <w:tmpl w:val="C4B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C6FE1"/>
    <w:multiLevelType w:val="hybridMultilevel"/>
    <w:tmpl w:val="A58088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8F7486"/>
    <w:multiLevelType w:val="multilevel"/>
    <w:tmpl w:val="239ED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7572"/>
    <w:rsid w:val="0000031F"/>
    <w:rsid w:val="00006A03"/>
    <w:rsid w:val="000125B4"/>
    <w:rsid w:val="00073A8D"/>
    <w:rsid w:val="00074C01"/>
    <w:rsid w:val="00075950"/>
    <w:rsid w:val="00092D8B"/>
    <w:rsid w:val="000B4C41"/>
    <w:rsid w:val="000D373C"/>
    <w:rsid w:val="000E2163"/>
    <w:rsid w:val="00100D32"/>
    <w:rsid w:val="00125C73"/>
    <w:rsid w:val="00130A3A"/>
    <w:rsid w:val="00171E75"/>
    <w:rsid w:val="0019250E"/>
    <w:rsid w:val="00192DF2"/>
    <w:rsid w:val="00196CE6"/>
    <w:rsid w:val="001A1589"/>
    <w:rsid w:val="001D53AA"/>
    <w:rsid w:val="001E0B3C"/>
    <w:rsid w:val="00232F6A"/>
    <w:rsid w:val="0024531D"/>
    <w:rsid w:val="002460A0"/>
    <w:rsid w:val="002561C1"/>
    <w:rsid w:val="00275158"/>
    <w:rsid w:val="00291C97"/>
    <w:rsid w:val="002A5985"/>
    <w:rsid w:val="002A620F"/>
    <w:rsid w:val="002C63FF"/>
    <w:rsid w:val="002E365C"/>
    <w:rsid w:val="00312965"/>
    <w:rsid w:val="003137F2"/>
    <w:rsid w:val="00317509"/>
    <w:rsid w:val="00324BFB"/>
    <w:rsid w:val="00361AE5"/>
    <w:rsid w:val="0036784B"/>
    <w:rsid w:val="003921E3"/>
    <w:rsid w:val="003A28D7"/>
    <w:rsid w:val="003B23EE"/>
    <w:rsid w:val="003D0891"/>
    <w:rsid w:val="003F2B91"/>
    <w:rsid w:val="003F4EE6"/>
    <w:rsid w:val="003F66D0"/>
    <w:rsid w:val="00402913"/>
    <w:rsid w:val="00405616"/>
    <w:rsid w:val="00407CD3"/>
    <w:rsid w:val="00420632"/>
    <w:rsid w:val="00421607"/>
    <w:rsid w:val="0045623B"/>
    <w:rsid w:val="004601A8"/>
    <w:rsid w:val="00466338"/>
    <w:rsid w:val="004806BE"/>
    <w:rsid w:val="0049051D"/>
    <w:rsid w:val="004E3FAE"/>
    <w:rsid w:val="004F3F17"/>
    <w:rsid w:val="00531E3D"/>
    <w:rsid w:val="00543999"/>
    <w:rsid w:val="005806D1"/>
    <w:rsid w:val="00583B69"/>
    <w:rsid w:val="005A1D54"/>
    <w:rsid w:val="005D5DE7"/>
    <w:rsid w:val="0060169B"/>
    <w:rsid w:val="00610545"/>
    <w:rsid w:val="00617B1C"/>
    <w:rsid w:val="00625096"/>
    <w:rsid w:val="00636C70"/>
    <w:rsid w:val="00643D97"/>
    <w:rsid w:val="0066184D"/>
    <w:rsid w:val="006B3110"/>
    <w:rsid w:val="007054D4"/>
    <w:rsid w:val="0071295B"/>
    <w:rsid w:val="007B308D"/>
    <w:rsid w:val="007D6F1A"/>
    <w:rsid w:val="007E4D12"/>
    <w:rsid w:val="007E7616"/>
    <w:rsid w:val="007F5C39"/>
    <w:rsid w:val="00803A58"/>
    <w:rsid w:val="00813DFA"/>
    <w:rsid w:val="00822F06"/>
    <w:rsid w:val="00822FD4"/>
    <w:rsid w:val="008C4F48"/>
    <w:rsid w:val="00902788"/>
    <w:rsid w:val="009030B3"/>
    <w:rsid w:val="00944E72"/>
    <w:rsid w:val="00946394"/>
    <w:rsid w:val="00955304"/>
    <w:rsid w:val="00986B67"/>
    <w:rsid w:val="009C14D3"/>
    <w:rsid w:val="009D5A9E"/>
    <w:rsid w:val="009E1E21"/>
    <w:rsid w:val="009F1C1E"/>
    <w:rsid w:val="009F69F2"/>
    <w:rsid w:val="00A40455"/>
    <w:rsid w:val="00A6789E"/>
    <w:rsid w:val="00A9405D"/>
    <w:rsid w:val="00AA3934"/>
    <w:rsid w:val="00AB3EEC"/>
    <w:rsid w:val="00AE081D"/>
    <w:rsid w:val="00B20D99"/>
    <w:rsid w:val="00B21BA8"/>
    <w:rsid w:val="00B601B5"/>
    <w:rsid w:val="00B65964"/>
    <w:rsid w:val="00B80ECC"/>
    <w:rsid w:val="00B92835"/>
    <w:rsid w:val="00BA7BD9"/>
    <w:rsid w:val="00BB5A7F"/>
    <w:rsid w:val="00BC447E"/>
    <w:rsid w:val="00BC50F4"/>
    <w:rsid w:val="00BF5E56"/>
    <w:rsid w:val="00BF68C0"/>
    <w:rsid w:val="00C07AFA"/>
    <w:rsid w:val="00C15376"/>
    <w:rsid w:val="00C373FD"/>
    <w:rsid w:val="00C52A33"/>
    <w:rsid w:val="00C87572"/>
    <w:rsid w:val="00CB55C1"/>
    <w:rsid w:val="00CD7282"/>
    <w:rsid w:val="00D03CB8"/>
    <w:rsid w:val="00D11EC3"/>
    <w:rsid w:val="00D55075"/>
    <w:rsid w:val="00D905A0"/>
    <w:rsid w:val="00D95685"/>
    <w:rsid w:val="00D958B5"/>
    <w:rsid w:val="00DD5426"/>
    <w:rsid w:val="00DE175F"/>
    <w:rsid w:val="00DE2212"/>
    <w:rsid w:val="00DF4CFC"/>
    <w:rsid w:val="00E07D5E"/>
    <w:rsid w:val="00E34316"/>
    <w:rsid w:val="00E50D3A"/>
    <w:rsid w:val="00E5259D"/>
    <w:rsid w:val="00E52DEC"/>
    <w:rsid w:val="00E54144"/>
    <w:rsid w:val="00E83DE4"/>
    <w:rsid w:val="00E85EC1"/>
    <w:rsid w:val="00EA0309"/>
    <w:rsid w:val="00EC5C75"/>
    <w:rsid w:val="00ED3798"/>
    <w:rsid w:val="00EF1ADA"/>
    <w:rsid w:val="00EF6494"/>
    <w:rsid w:val="00F02825"/>
    <w:rsid w:val="00F72F49"/>
    <w:rsid w:val="00F735AA"/>
    <w:rsid w:val="00F92C26"/>
    <w:rsid w:val="00FB3F29"/>
    <w:rsid w:val="00FD611D"/>
    <w:rsid w:val="00FF4E0F"/>
    <w:rsid w:val="00FF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72"/>
  </w:style>
  <w:style w:type="paragraph" w:styleId="Footer">
    <w:name w:val="footer"/>
    <w:basedOn w:val="Normal"/>
    <w:link w:val="FooterChar"/>
    <w:uiPriority w:val="99"/>
    <w:unhideWhenUsed/>
    <w:rsid w:val="00C8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72"/>
  </w:style>
  <w:style w:type="paragraph" w:styleId="BalloonText">
    <w:name w:val="Balloon Text"/>
    <w:basedOn w:val="Normal"/>
    <w:link w:val="BalloonTextChar"/>
    <w:uiPriority w:val="99"/>
    <w:semiHidden/>
    <w:unhideWhenUsed/>
    <w:rsid w:val="00C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3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3D97"/>
    <w:rPr>
      <w:color w:val="808080"/>
    </w:rPr>
  </w:style>
  <w:style w:type="paragraph" w:styleId="Revision">
    <w:name w:val="Revision"/>
    <w:hidden/>
    <w:uiPriority w:val="99"/>
    <w:semiHidden/>
    <w:rsid w:val="007054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5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4D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becf93-3759-4238-92ae-922d8d58e4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327944FD1E9418296291BB6EC9460" ma:contentTypeVersion="15" ma:contentTypeDescription="Create a new document." ma:contentTypeScope="" ma:versionID="5e47b3ba82fa6ea808f5c25ca6acc58b">
  <xsd:schema xmlns:xsd="http://www.w3.org/2001/XMLSchema" xmlns:xs="http://www.w3.org/2001/XMLSchema" xmlns:p="http://schemas.microsoft.com/office/2006/metadata/properties" xmlns:ns3="a5becf93-3759-4238-92ae-922d8d58e453" xmlns:ns4="73ccdab9-974d-4d8b-9761-4f0a9454d242" targetNamespace="http://schemas.microsoft.com/office/2006/metadata/properties" ma:root="true" ma:fieldsID="be9719bcda1b92ee4592b983810e7707" ns3:_="" ns4:_="">
    <xsd:import namespace="a5becf93-3759-4238-92ae-922d8d58e453"/>
    <xsd:import namespace="73ccdab9-974d-4d8b-9761-4f0a9454d2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ecf93-3759-4238-92ae-922d8d58e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dab9-974d-4d8b-9761-4f0a9454d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55D22-11EB-436F-87CB-3645D4408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06FE2-021C-42DB-9647-6B69B1E119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D45C4-1FD0-49FC-B895-08092216B0D7}">
  <ds:schemaRefs>
    <ds:schemaRef ds:uri="http://schemas.microsoft.com/office/2006/metadata/properties"/>
    <ds:schemaRef ds:uri="http://schemas.microsoft.com/office/infopath/2007/PartnerControls"/>
    <ds:schemaRef ds:uri="a5becf93-3759-4238-92ae-922d8d58e453"/>
  </ds:schemaRefs>
</ds:datastoreItem>
</file>

<file path=customXml/itemProps4.xml><?xml version="1.0" encoding="utf-8"?>
<ds:datastoreItem xmlns:ds="http://schemas.openxmlformats.org/officeDocument/2006/customXml" ds:itemID="{82566726-031C-42FC-8124-1859F71E2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ecf93-3759-4238-92ae-922d8d58e453"/>
    <ds:schemaRef ds:uri="73ccdab9-974d-4d8b-9761-4f0a9454d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Sarah, Vodafone Group</dc:creator>
  <cp:lastModifiedBy>Reception</cp:lastModifiedBy>
  <cp:revision>2</cp:revision>
  <cp:lastPrinted>2025-01-28T09:14:00Z</cp:lastPrinted>
  <dcterms:created xsi:type="dcterms:W3CDTF">2025-01-28T09:28:00Z</dcterms:created>
  <dcterms:modified xsi:type="dcterms:W3CDTF">2025-01-28T09:28:00Z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0x010100B9E327944FD1E9418296291BB6EC9460</vt:lpwstr>
  </property>
  <property fmtid="{D5CDD505-2E9C-101B-9397-08002B2CF9AE}" pid="4" name="_dlc_DocIdItemGuid">
    <vt:lpwstr>5472f83e-7cc9-42b9-9129-9e1bbd1f6621</vt:lpwstr>
  </property>
  <property fmtid="{D5CDD505-2E9C-101B-9397-08002B2CF9AE}" pid="5" name="f990c7c4177444ce8e3ad7776403abd5">
    <vt:lpwstr>SharePoint2010|fcaeeae2-9af0-487f-9880-4740ddb5402c</vt:lpwstr>
  </property>
  <property fmtid="{D5CDD505-2E9C-101B-9397-08002B2CF9AE}" pid="6" name="k8c673b27f4b41fc856b1e1a2e254ceb">
    <vt:lpwstr>C2|40b4359c-cd73-4445-95f6-43cbb3ffd46d</vt:lpwstr>
  </property>
  <property fmtid="{D5CDD505-2E9C-101B-9397-08002B2CF9AE}" pid="7" name="VGSP_EWA_CTYPE_Confidentiality">
    <vt:lpwstr>1;#C2|40b4359c-cd73-4445-95f6-43cbb3ffd46d</vt:lpwstr>
  </property>
  <property fmtid="{D5CDD505-2E9C-101B-9397-08002B2CF9AE}" pid="8" name="TaxCatchAll">
    <vt:lpwstr>2;#SharePoint2010|fcaeeae2-9af0-487f-9880-4740ddb5402c;#1;#C2|40b4359c-cd73-4445-95f6-43cbb3ffd46d</vt:lpwstr>
  </property>
  <property fmtid="{D5CDD505-2E9C-101B-9397-08002B2CF9AE}" pid="9" name="VGSP_EWA_CTYPE_DocumentOwner">
    <vt:lpwstr/>
  </property>
  <property fmtid="{D5CDD505-2E9C-101B-9397-08002B2CF9AE}" pid="10" name="VGSP_EWA_CTYPE_ContentSource">
    <vt:lpwstr>2;#SharePoint2010|fcaeeae2-9af0-487f-9880-4740ddb5402c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2023-06-30T07:07:43Z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5a93508b-58de-4d80-b1bc-3c21ba225491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GrammarlyDocumentId">
    <vt:lpwstr>a3f6b35300b92dc81e0ab8db9ad8180ea68493d7fd958df52a7535831db900ff</vt:lpwstr>
  </property>
</Properties>
</file>